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CITY OF LAKE ANGELUS</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ORDINANCE NO. 157</w:t>
      </w:r>
    </w:p>
    <w:p w:rsidR="00000000" w:rsidDel="00000000" w:rsidP="00000000" w:rsidRDefault="00000000" w:rsidRPr="00000000" w14:paraId="00000004">
      <w:pPr>
        <w:jc w:val="center"/>
        <w:rPr>
          <w:sz w:val="24"/>
          <w:szCs w:val="24"/>
        </w:rPr>
      </w:pPr>
      <w:r w:rsidDel="00000000" w:rsidR="00000000" w:rsidRPr="00000000">
        <w:rPr>
          <w:sz w:val="24"/>
          <w:szCs w:val="24"/>
          <w:rtl w:val="0"/>
        </w:rPr>
        <w:br w:type="textWrapping"/>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The City of Lake Angelus ordains:</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I.</w:t>
        <w:tab/>
        <w:t xml:space="preserve">Section 1242.04(e)(1) of the Codified Ordinances of the City of Lake Angelus shall be amended and re-stated in its entirety as follows:</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pStyle w:val="Heading2"/>
        <w:spacing w:before="0" w:lineRule="auto"/>
        <w:ind w:firstLine="720"/>
        <w:rPr>
          <w:rFonts w:ascii="Calibri" w:cs="Calibri" w:eastAsia="Calibri" w:hAnsi="Calibri"/>
          <w:b w:val="0"/>
          <w:smallCaps w:val="0"/>
          <w:color w:val="1a1a1a"/>
          <w:sz w:val="24"/>
          <w:szCs w:val="24"/>
        </w:rPr>
      </w:pPr>
      <w:r w:rsidDel="00000000" w:rsidR="00000000" w:rsidRPr="00000000">
        <w:rPr>
          <w:rFonts w:ascii="Calibri" w:cs="Calibri" w:eastAsia="Calibri" w:hAnsi="Calibri"/>
          <w:b w:val="0"/>
          <w:smallCaps w:val="0"/>
          <w:color w:val="1a1a1a"/>
          <w:sz w:val="24"/>
          <w:szCs w:val="24"/>
          <w:rtl w:val="0"/>
        </w:rPr>
        <w:t xml:space="preserve">(e)   </w:t>
      </w:r>
      <w:r w:rsidDel="00000000" w:rsidR="00000000" w:rsidRPr="00000000">
        <w:rPr>
          <w:rFonts w:ascii="Calibri" w:cs="Calibri" w:eastAsia="Calibri" w:hAnsi="Calibri"/>
          <w:b w:val="0"/>
          <w:smallCaps w:val="0"/>
          <w:color w:val="1a1a1a"/>
          <w:sz w:val="24"/>
          <w:szCs w:val="24"/>
          <w:u w:val="single"/>
          <w:rtl w:val="0"/>
        </w:rPr>
        <w:t xml:space="preserve">Conformity to Site Plan and Expiration of Approval</w:t>
      </w:r>
      <w:r w:rsidDel="00000000" w:rsidR="00000000" w:rsidRPr="00000000">
        <w:rPr>
          <w:rFonts w:ascii="Calibri" w:cs="Calibri" w:eastAsia="Calibri" w:hAnsi="Calibri"/>
          <w:b w:val="0"/>
          <w:smallCaps w:val="0"/>
          <w:color w:val="1a1a1a"/>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pStyle w:val="Heading2"/>
        <w:spacing w:before="0" w:lineRule="auto"/>
        <w:ind w:left="1080" w:firstLine="0"/>
        <w:jc w:val="both"/>
        <w:rPr>
          <w:rFonts w:ascii="Calibri" w:cs="Calibri" w:eastAsia="Calibri" w:hAnsi="Calibri"/>
          <w:b w:val="0"/>
          <w:smallCaps w:val="0"/>
          <w:color w:val="000000"/>
          <w:sz w:val="24"/>
          <w:szCs w:val="24"/>
        </w:rPr>
      </w:pPr>
      <w:r w:rsidDel="00000000" w:rsidR="00000000" w:rsidRPr="00000000">
        <w:rPr>
          <w:rFonts w:ascii="Calibri" w:cs="Calibri" w:eastAsia="Calibri" w:hAnsi="Calibri"/>
          <w:b w:val="0"/>
          <w:smallCaps w:val="0"/>
          <w:color w:val="1a1a1a"/>
          <w:sz w:val="24"/>
          <w:szCs w:val="24"/>
          <w:rtl w:val="0"/>
        </w:rPr>
        <w:t xml:space="preserve">(1)   After filing the approved application and site plan, satisfaction of any conditions of said approval and compliance with this Zoning Code and other ordinances, a building permit may be issued. All development and construction shall be in complete conformity with the site plan as approved.</w:t>
      </w:r>
      <w:r w:rsidDel="00000000" w:rsidR="00000000" w:rsidRPr="00000000">
        <w:rPr>
          <w:rFonts w:ascii="Calibri" w:cs="Calibri" w:eastAsia="Calibri" w:hAnsi="Calibri"/>
          <w:b w:val="0"/>
          <w:smallCaps w:val="0"/>
          <w:color w:val="000000"/>
          <w:sz w:val="24"/>
          <w:szCs w:val="24"/>
          <w:rtl w:val="0"/>
        </w:rPr>
        <w:t xml:space="preserve"> The Building Official shall require a complete or partial site plan for all projects that involve new buildings, expanded floor area, or grade changes, certified by a registered civil engineer or registered land surveyor, showing structure locations, grading, drainage and other features.  The plans shall be submitted in the following formats:</w:t>
      </w:r>
    </w:p>
    <w:p w:rsidR="00000000" w:rsidDel="00000000" w:rsidP="00000000" w:rsidRDefault="00000000" w:rsidRPr="00000000" w14:paraId="0000000C">
      <w:pPr>
        <w:rPr>
          <w:sz w:val="24"/>
          <w:szCs w:val="24"/>
        </w:rPr>
      </w:pPr>
      <w:r w:rsidDel="00000000" w:rsidR="00000000" w:rsidRPr="00000000">
        <w:rPr>
          <w:rtl w:val="0"/>
        </w:rPr>
      </w:r>
    </w:p>
    <w:tbl>
      <w:tblPr>
        <w:tblStyle w:val="Table1"/>
        <w:tblW w:w="7018.0" w:type="dxa"/>
        <w:jc w:val="left"/>
        <w:tblInd w:w="960.0" w:type="dxa"/>
        <w:tblLayout w:type="fixed"/>
        <w:tblLook w:val="0400"/>
      </w:tblPr>
      <w:tblGrid>
        <w:gridCol w:w="1650"/>
        <w:gridCol w:w="1350"/>
        <w:gridCol w:w="1170"/>
        <w:gridCol w:w="2848"/>
        <w:tblGridChange w:id="0">
          <w:tblGrid>
            <w:gridCol w:w="1650"/>
            <w:gridCol w:w="1350"/>
            <w:gridCol w:w="1170"/>
            <w:gridCol w:w="2848"/>
          </w:tblGrid>
        </w:tblGridChange>
      </w:tblGrid>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rPr>
                <w:sz w:val="24"/>
                <w:szCs w:val="24"/>
              </w:rPr>
            </w:pPr>
            <w:r w:rsidDel="00000000" w:rsidR="00000000" w:rsidRPr="00000000">
              <w:rPr>
                <w:sz w:val="24"/>
                <w:szCs w:val="24"/>
                <w:rtl w:val="0"/>
              </w:rPr>
              <w:t xml:space="preserve">Drawing Type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E">
            <w:pPr>
              <w:rPr>
                <w:color w:val="000000"/>
                <w:sz w:val="24"/>
                <w:szCs w:val="24"/>
              </w:rPr>
            </w:pPr>
            <w:r w:rsidDel="00000000" w:rsidR="00000000" w:rsidRPr="00000000">
              <w:rPr>
                <w:color w:val="000000"/>
                <w:sz w:val="24"/>
                <w:szCs w:val="24"/>
                <w:rtl w:val="0"/>
              </w:rPr>
              <w:t xml:space="preserve">Paper (hard copy)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PDF (digital)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Computer-Aided Drawing (CAD); .dwg or similar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Architectural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2">
            <w:pPr>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4">
            <w:pPr>
              <w:jc w:val="center"/>
              <w:rPr>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Civil and Landscape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6">
            <w:pPr>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7">
            <w:pPr>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8">
            <w:pPr>
              <w:jc w:val="center"/>
              <w:rPr>
                <w:color w:val="000000"/>
                <w:sz w:val="24"/>
                <w:szCs w:val="24"/>
              </w:rPr>
            </w:pPr>
            <w:r w:rsidDel="00000000" w:rsidR="00000000" w:rsidRPr="00000000">
              <w:rPr>
                <w:color w:val="000000"/>
                <w:sz w:val="24"/>
                <w:szCs w:val="24"/>
                <w:rtl w:val="0"/>
              </w:rPr>
              <w:t xml:space="preserve">X</w:t>
            </w:r>
          </w:p>
        </w:tc>
      </w:tr>
    </w:tbl>
    <w:p w:rsidR="00000000" w:rsidDel="00000000" w:rsidP="00000000" w:rsidRDefault="00000000" w:rsidRPr="00000000" w14:paraId="00000019">
      <w:pPr>
        <w:pStyle w:val="Heading2"/>
        <w:spacing w:before="0" w:lineRule="auto"/>
        <w:jc w:val="both"/>
        <w:rPr>
          <w:rFonts w:ascii="Calibri" w:cs="Calibri" w:eastAsia="Calibri" w:hAnsi="Calibri"/>
          <w:b w:val="0"/>
          <w:smallCaps w:val="0"/>
          <w:color w:val="000000"/>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II.</w:t>
        <w:tab/>
        <w:t xml:space="preserve">Miscellaneous Provisions.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ab/>
        <w:t xml:space="preserve">(a)</w:t>
        <w:tab/>
      </w:r>
      <w:r w:rsidDel="00000000" w:rsidR="00000000" w:rsidRPr="00000000">
        <w:rPr>
          <w:sz w:val="24"/>
          <w:szCs w:val="24"/>
          <w:u w:val="single"/>
          <w:rtl w:val="0"/>
        </w:rPr>
        <w:t xml:space="preserve">Savings Clause</w:t>
      </w:r>
      <w:r w:rsidDel="00000000" w:rsidR="00000000" w:rsidRPr="00000000">
        <w:rPr>
          <w:sz w:val="24"/>
          <w:szCs w:val="24"/>
          <w:rtl w:val="0"/>
        </w:rPr>
        <w:t xml:space="preserve">.  All proceedings pending and all rights and liabilities existing, acquired, or incurred at the time this ordinance takes effect are saved and may be consummated according to the law in force when they are commenced. This ordinance shall not be construed to affect any prosecution pending or initiated before the effective date of this ordinance, or initiated after the effective date of the ordinance for an offense committed before that effective date.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ab/>
        <w:t xml:space="preserve">(b)</w:t>
        <w:tab/>
      </w:r>
      <w:r w:rsidDel="00000000" w:rsidR="00000000" w:rsidRPr="00000000">
        <w:rPr>
          <w:sz w:val="24"/>
          <w:szCs w:val="24"/>
          <w:u w:val="single"/>
          <w:rtl w:val="0"/>
        </w:rPr>
        <w:t xml:space="preserve">Severability</w:t>
      </w:r>
      <w:r w:rsidDel="00000000" w:rsidR="00000000" w:rsidRPr="00000000">
        <w:rPr>
          <w:sz w:val="24"/>
          <w:szCs w:val="24"/>
          <w:rtl w:val="0"/>
        </w:rPr>
        <w:t xml:space="preserve">.  If any word, clause, sentence, paragraph or part of this ordinance shall be found invalid or unconstitutional by a court of competent jurisdiction, the remainder of the ordinance shall remain in full force and effect.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ab/>
        <w:t xml:space="preserve">(c)</w:t>
        <w:tab/>
      </w:r>
      <w:r w:rsidDel="00000000" w:rsidR="00000000" w:rsidRPr="00000000">
        <w:rPr>
          <w:sz w:val="24"/>
          <w:szCs w:val="24"/>
          <w:u w:val="single"/>
          <w:rtl w:val="0"/>
        </w:rPr>
        <w:t xml:space="preserve">Effective Date; Publication</w:t>
      </w:r>
      <w:r w:rsidDel="00000000" w:rsidR="00000000" w:rsidRPr="00000000">
        <w:rPr>
          <w:sz w:val="24"/>
          <w:szCs w:val="24"/>
          <w:rtl w:val="0"/>
        </w:rPr>
        <w:t xml:space="preserve">.  This ordinance shall take effect upon publication of this ordinance or a synopsis thereof, in a newspaper circulated in the City of Lake Angelus.</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ab/>
        <w:t xml:space="preserve">At a regular meeting of the Lake Angelus City Council held on May 11, 2021, adoption of the foregoing ordinance was moved by Gary Parlove and supported by Dan Jenaras.</w:t>
      </w:r>
    </w:p>
    <w:p w:rsidR="00000000" w:rsidDel="00000000" w:rsidP="00000000" w:rsidRDefault="00000000" w:rsidRPr="00000000" w14:paraId="00000023">
      <w:pPr>
        <w:rPr>
          <w:sz w:val="24"/>
          <w:szCs w:val="24"/>
        </w:rPr>
      </w:pPr>
      <w:r w:rsidDel="00000000" w:rsidR="00000000" w:rsidRPr="00000000">
        <w:rPr>
          <w:sz w:val="24"/>
          <w:szCs w:val="24"/>
          <w:rtl w:val="0"/>
        </w:rPr>
        <w:t xml:space="preserve">Voting for: Natalie Forte, Jim Cortez, Dan Jenaras, Gary Parlove, Laura McNew</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Voting against: NA</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The Mayor declared the ordinance adopted.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ab/>
        <w:tab/>
        <w:tab/>
        <w:tab/>
        <w:tab/>
        <w:tab/>
        <w:tab/>
        <w:t xml:space="preserve">_______________________________</w:t>
      </w:r>
    </w:p>
    <w:p w:rsidR="00000000" w:rsidDel="00000000" w:rsidP="00000000" w:rsidRDefault="00000000" w:rsidRPr="00000000" w14:paraId="0000002C">
      <w:pPr>
        <w:rPr>
          <w:sz w:val="24"/>
          <w:szCs w:val="24"/>
        </w:rPr>
      </w:pPr>
      <w:r w:rsidDel="00000000" w:rsidR="00000000" w:rsidRPr="00000000">
        <w:rPr>
          <w:sz w:val="24"/>
          <w:szCs w:val="24"/>
          <w:rtl w:val="0"/>
        </w:rPr>
        <w:tab/>
        <w:tab/>
        <w:tab/>
        <w:tab/>
        <w:tab/>
        <w:tab/>
        <w:tab/>
        <w:t xml:space="preserve">Natalie Forte</w:t>
      </w:r>
    </w:p>
    <w:p w:rsidR="00000000" w:rsidDel="00000000" w:rsidP="00000000" w:rsidRDefault="00000000" w:rsidRPr="00000000" w14:paraId="0000002D">
      <w:pPr>
        <w:rPr>
          <w:sz w:val="24"/>
          <w:szCs w:val="24"/>
        </w:rPr>
      </w:pPr>
      <w:r w:rsidDel="00000000" w:rsidR="00000000" w:rsidRPr="00000000">
        <w:rPr>
          <w:sz w:val="24"/>
          <w:szCs w:val="24"/>
          <w:rtl w:val="0"/>
        </w:rPr>
        <w:tab/>
        <w:tab/>
        <w:tab/>
        <w:tab/>
        <w:tab/>
        <w:tab/>
        <w:tab/>
        <w:t xml:space="preserve">Mayor</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ab/>
        <w:tab/>
        <w:tab/>
        <w:tab/>
        <w:tab/>
        <w:tab/>
        <w:tab/>
        <w:t xml:space="preserve">________________________________</w:t>
        <w:tab/>
        <w:tab/>
        <w:tab/>
        <w:tab/>
        <w:tab/>
        <w:tab/>
        <w:tab/>
        <w:tab/>
        <w:tab/>
        <w:t xml:space="preserve">Sarah McNew Razzaque</w:t>
      </w:r>
    </w:p>
    <w:p w:rsidR="00000000" w:rsidDel="00000000" w:rsidP="00000000" w:rsidRDefault="00000000" w:rsidRPr="00000000" w14:paraId="00000031">
      <w:pPr>
        <w:rPr>
          <w:sz w:val="24"/>
          <w:szCs w:val="24"/>
        </w:rPr>
      </w:pPr>
      <w:r w:rsidDel="00000000" w:rsidR="00000000" w:rsidRPr="00000000">
        <w:rPr>
          <w:sz w:val="24"/>
          <w:szCs w:val="24"/>
          <w:rtl w:val="0"/>
        </w:rPr>
        <w:tab/>
        <w:tab/>
        <w:tab/>
        <w:tab/>
        <w:tab/>
        <w:tab/>
        <w:tab/>
        <w:t xml:space="preserve">Clerk</w:t>
      </w:r>
    </w:p>
    <w:p w:rsidR="00000000" w:rsidDel="00000000" w:rsidP="00000000" w:rsidRDefault="00000000" w:rsidRPr="00000000" w14:paraId="00000032">
      <w:pPr>
        <w:rPr>
          <w:sz w:val="10"/>
          <w:szCs w:val="10"/>
        </w:rPr>
      </w:pPr>
      <w:r w:rsidDel="00000000" w:rsidR="00000000" w:rsidRPr="00000000">
        <w:rPr>
          <w:rtl w:val="0"/>
        </w:rPr>
      </w:r>
    </w:p>
    <w:p w:rsidR="00000000" w:rsidDel="00000000" w:rsidP="00000000" w:rsidRDefault="00000000" w:rsidRPr="00000000" w14:paraId="00000033">
      <w:pPr>
        <w:rPr>
          <w:sz w:val="10"/>
          <w:szCs w:val="10"/>
        </w:rPr>
      </w:pPr>
      <w:r w:rsidDel="00000000" w:rsidR="00000000" w:rsidRPr="00000000">
        <w:rPr>
          <w:rtl w:val="0"/>
        </w:rPr>
      </w:r>
    </w:p>
    <w:p w:rsidR="00000000" w:rsidDel="00000000" w:rsidP="00000000" w:rsidRDefault="00000000" w:rsidRPr="00000000" w14:paraId="00000034">
      <w:pPr>
        <w:rPr>
          <w:sz w:val="10"/>
          <w:szCs w:val="10"/>
        </w:rPr>
      </w:pPr>
      <w:r w:rsidDel="00000000" w:rsidR="00000000" w:rsidRPr="00000000">
        <w:rPr>
          <w:rtl w:val="0"/>
        </w:rPr>
      </w:r>
    </w:p>
    <w:p w:rsidR="00000000" w:rsidDel="00000000" w:rsidP="00000000" w:rsidRDefault="00000000" w:rsidRPr="00000000" w14:paraId="00000035">
      <w:pPr>
        <w:rPr>
          <w:sz w:val="10"/>
          <w:szCs w:val="10"/>
        </w:rPr>
      </w:pPr>
      <w:r w:rsidDel="00000000" w:rsidR="00000000" w:rsidRPr="00000000">
        <w:rPr>
          <w:rtl w:val="0"/>
        </w:rPr>
      </w:r>
    </w:p>
    <w:p w:rsidR="00000000" w:rsidDel="00000000" w:rsidP="00000000" w:rsidRDefault="00000000" w:rsidRPr="00000000" w14:paraId="00000036">
      <w:pPr>
        <w:rPr>
          <w:sz w:val="10"/>
          <w:szCs w:val="10"/>
        </w:rPr>
      </w:pPr>
      <w:r w:rsidDel="00000000" w:rsidR="00000000" w:rsidRPr="00000000">
        <w:rPr>
          <w:rtl w:val="0"/>
        </w:rPr>
      </w:r>
    </w:p>
    <w:p w:rsidR="00000000" w:rsidDel="00000000" w:rsidP="00000000" w:rsidRDefault="00000000" w:rsidRPr="00000000" w14:paraId="00000037">
      <w:pPr>
        <w:rPr>
          <w:sz w:val="10"/>
          <w:szCs w:val="10"/>
        </w:rPr>
      </w:pPr>
      <w:r w:rsidDel="00000000" w:rsidR="00000000" w:rsidRPr="00000000">
        <w:rPr>
          <w:rtl w:val="0"/>
        </w:rPr>
      </w:r>
    </w:p>
    <w:p w:rsidR="00000000" w:rsidDel="00000000" w:rsidP="00000000" w:rsidRDefault="00000000" w:rsidRPr="00000000" w14:paraId="00000038">
      <w:pPr>
        <w:rPr>
          <w:sz w:val="10"/>
          <w:szCs w:val="10"/>
        </w:rPr>
      </w:pPr>
      <w:r w:rsidDel="00000000" w:rsidR="00000000" w:rsidRPr="00000000">
        <w:rPr>
          <w:rtl w:val="0"/>
        </w:rPr>
      </w:r>
    </w:p>
    <w:p w:rsidR="00000000" w:rsidDel="00000000" w:rsidP="00000000" w:rsidRDefault="00000000" w:rsidRPr="00000000" w14:paraId="00000039">
      <w:pPr>
        <w:rPr>
          <w:sz w:val="10"/>
          <w:szCs w:val="10"/>
        </w:rPr>
      </w:pPr>
      <w:r w:rsidDel="00000000" w:rsidR="00000000" w:rsidRPr="00000000">
        <w:rPr>
          <w:rtl w:val="0"/>
        </w:rPr>
      </w:r>
    </w:p>
    <w:p w:rsidR="00000000" w:rsidDel="00000000" w:rsidP="00000000" w:rsidRDefault="00000000" w:rsidRPr="00000000" w14:paraId="0000003A">
      <w:pPr>
        <w:rPr>
          <w:sz w:val="10"/>
          <w:szCs w:val="10"/>
        </w:rPr>
      </w:pPr>
      <w:r w:rsidDel="00000000" w:rsidR="00000000" w:rsidRPr="00000000">
        <w:rPr>
          <w:rtl w:val="0"/>
        </w:rPr>
      </w:r>
    </w:p>
    <w:p w:rsidR="00000000" w:rsidDel="00000000" w:rsidP="00000000" w:rsidRDefault="00000000" w:rsidRPr="00000000" w14:paraId="0000003B">
      <w:pPr>
        <w:rPr>
          <w:sz w:val="10"/>
          <w:szCs w:val="10"/>
        </w:rPr>
      </w:pPr>
      <w:r w:rsidDel="00000000" w:rsidR="00000000" w:rsidRPr="00000000">
        <w:rPr>
          <w:rtl w:val="0"/>
        </w:rPr>
      </w:r>
    </w:p>
    <w:p w:rsidR="00000000" w:rsidDel="00000000" w:rsidP="00000000" w:rsidRDefault="00000000" w:rsidRPr="00000000" w14:paraId="0000003C">
      <w:pPr>
        <w:rPr>
          <w:sz w:val="10"/>
          <w:szCs w:val="10"/>
        </w:rPr>
      </w:pPr>
      <w:r w:rsidDel="00000000" w:rsidR="00000000" w:rsidRPr="00000000">
        <w:rPr>
          <w:rtl w:val="0"/>
        </w:rPr>
      </w:r>
    </w:p>
    <w:p w:rsidR="00000000" w:rsidDel="00000000" w:rsidP="00000000" w:rsidRDefault="00000000" w:rsidRPr="00000000" w14:paraId="0000003D">
      <w:pPr>
        <w:rPr>
          <w:sz w:val="10"/>
          <w:szCs w:val="10"/>
        </w:rPr>
      </w:pPr>
      <w:r w:rsidDel="00000000" w:rsidR="00000000" w:rsidRPr="00000000">
        <w:rPr>
          <w:rtl w:val="0"/>
        </w:rPr>
      </w:r>
    </w:p>
    <w:p w:rsidR="00000000" w:rsidDel="00000000" w:rsidP="00000000" w:rsidRDefault="00000000" w:rsidRPr="00000000" w14:paraId="0000003E">
      <w:pPr>
        <w:rPr>
          <w:sz w:val="10"/>
          <w:szCs w:val="10"/>
        </w:rPr>
      </w:pPr>
      <w:r w:rsidDel="00000000" w:rsidR="00000000" w:rsidRPr="00000000">
        <w:rPr>
          <w:rtl w:val="0"/>
        </w:rPr>
      </w:r>
    </w:p>
    <w:p w:rsidR="00000000" w:rsidDel="00000000" w:rsidP="00000000" w:rsidRDefault="00000000" w:rsidRPr="00000000" w14:paraId="0000003F">
      <w:pPr>
        <w:rPr>
          <w:sz w:val="10"/>
          <w:szCs w:val="10"/>
        </w:rPr>
      </w:pPr>
      <w:r w:rsidDel="00000000" w:rsidR="00000000" w:rsidRPr="00000000">
        <w:rPr>
          <w:rtl w:val="0"/>
        </w:rPr>
      </w:r>
    </w:p>
    <w:p w:rsidR="00000000" w:rsidDel="00000000" w:rsidP="00000000" w:rsidRDefault="00000000" w:rsidRPr="00000000" w14:paraId="00000040">
      <w:pPr>
        <w:rPr>
          <w:sz w:val="10"/>
          <w:szCs w:val="10"/>
        </w:rPr>
      </w:pPr>
      <w:r w:rsidDel="00000000" w:rsidR="00000000" w:rsidRPr="00000000">
        <w:rPr>
          <w:rtl w:val="0"/>
        </w:rPr>
      </w:r>
    </w:p>
    <w:p w:rsidR="00000000" w:rsidDel="00000000" w:rsidP="00000000" w:rsidRDefault="00000000" w:rsidRPr="00000000" w14:paraId="00000041">
      <w:pPr>
        <w:rPr>
          <w:sz w:val="10"/>
          <w:szCs w:val="10"/>
        </w:rPr>
      </w:pPr>
      <w:r w:rsidDel="00000000" w:rsidR="00000000" w:rsidRPr="00000000">
        <w:rPr>
          <w:rtl w:val="0"/>
        </w:rPr>
      </w:r>
    </w:p>
    <w:p w:rsidR="00000000" w:rsidDel="00000000" w:rsidP="00000000" w:rsidRDefault="00000000" w:rsidRPr="00000000" w14:paraId="00000042">
      <w:pPr>
        <w:rPr>
          <w:sz w:val="10"/>
          <w:szCs w:val="10"/>
        </w:rPr>
      </w:pPr>
      <w:r w:rsidDel="00000000" w:rsidR="00000000" w:rsidRPr="00000000">
        <w:rPr>
          <w:rtl w:val="0"/>
        </w:rPr>
      </w:r>
    </w:p>
    <w:p w:rsidR="00000000" w:rsidDel="00000000" w:rsidP="00000000" w:rsidRDefault="00000000" w:rsidRPr="00000000" w14:paraId="00000043">
      <w:pPr>
        <w:rPr>
          <w:sz w:val="10"/>
          <w:szCs w:val="10"/>
        </w:rPr>
      </w:pPr>
      <w:r w:rsidDel="00000000" w:rsidR="00000000" w:rsidRPr="00000000">
        <w:rPr>
          <w:rtl w:val="0"/>
        </w:rPr>
      </w:r>
    </w:p>
    <w:p w:rsidR="00000000" w:rsidDel="00000000" w:rsidP="00000000" w:rsidRDefault="00000000" w:rsidRPr="00000000" w14:paraId="00000044">
      <w:pPr>
        <w:rPr>
          <w:sz w:val="10"/>
          <w:szCs w:val="10"/>
        </w:rPr>
      </w:pPr>
      <w:r w:rsidDel="00000000" w:rsidR="00000000" w:rsidRPr="00000000">
        <w:rPr>
          <w:rtl w:val="0"/>
        </w:rPr>
      </w:r>
    </w:p>
    <w:p w:rsidR="00000000" w:rsidDel="00000000" w:rsidP="00000000" w:rsidRDefault="00000000" w:rsidRPr="00000000" w14:paraId="00000045">
      <w:pPr>
        <w:rPr>
          <w:sz w:val="10"/>
          <w:szCs w:val="10"/>
        </w:rPr>
      </w:pPr>
      <w:r w:rsidDel="00000000" w:rsidR="00000000" w:rsidRPr="00000000">
        <w:rPr>
          <w:rtl w:val="0"/>
        </w:rPr>
      </w:r>
    </w:p>
    <w:p w:rsidR="00000000" w:rsidDel="00000000" w:rsidP="00000000" w:rsidRDefault="00000000" w:rsidRPr="00000000" w14:paraId="00000046">
      <w:pPr>
        <w:rPr>
          <w:sz w:val="10"/>
          <w:szCs w:val="10"/>
        </w:rPr>
      </w:pPr>
      <w:r w:rsidDel="00000000" w:rsidR="00000000" w:rsidRPr="00000000">
        <w:rPr>
          <w:rtl w:val="0"/>
        </w:rPr>
      </w:r>
    </w:p>
    <w:p w:rsidR="00000000" w:rsidDel="00000000" w:rsidP="00000000" w:rsidRDefault="00000000" w:rsidRPr="00000000" w14:paraId="00000047">
      <w:pPr>
        <w:rPr>
          <w:sz w:val="10"/>
          <w:szCs w:val="10"/>
        </w:rPr>
      </w:pPr>
      <w:r w:rsidDel="00000000" w:rsidR="00000000" w:rsidRPr="00000000">
        <w:rPr>
          <w:rtl w:val="0"/>
        </w:rPr>
      </w:r>
    </w:p>
    <w:p w:rsidR="00000000" w:rsidDel="00000000" w:rsidP="00000000" w:rsidRDefault="00000000" w:rsidRPr="00000000" w14:paraId="00000048">
      <w:pPr>
        <w:rPr>
          <w:sz w:val="10"/>
          <w:szCs w:val="10"/>
        </w:rPr>
      </w:pPr>
      <w:r w:rsidDel="00000000" w:rsidR="00000000" w:rsidRPr="00000000">
        <w:rPr>
          <w:sz w:val="10"/>
          <w:szCs w:val="10"/>
          <w:rtl w:val="0"/>
        </w:rPr>
        <w:t xml:space="preserve">J:\4497\006\Ordinance Re Conformity to Site Plan and Expiration of Approval  05-06-2021.docx</w:t>
      </w:r>
    </w:p>
    <w:sectPr>
      <w:footerReference r:id="rId7" w:type="defaul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pPr>
    <w:rPr>
      <w:rFonts w:ascii="Arial" w:cs="Arial" w:eastAsia="Arial" w:hAnsi="Arial"/>
      <w:b w:val="1"/>
      <w:i w:val="0"/>
      <w:smallCaps w:val="1"/>
      <w:strike w:val="0"/>
      <w:color w:val="ff0000"/>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next w:val="Normal"/>
    <w:link w:val="Heading2Char"/>
    <w:uiPriority w:val="9"/>
    <w:unhideWhenUsed w:val="1"/>
    <w:qFormat w:val="1"/>
    <w:rsid w:val="00C4237B"/>
    <w:pPr>
      <w:spacing w:before="300"/>
      <w:outlineLvl w:val="1"/>
    </w:pPr>
    <w:rPr>
      <w:rFonts w:ascii="Arial" w:cs="Arial" w:eastAsia="Batang" w:hAnsi="Arial"/>
      <w:b w:val="1"/>
      <w:caps w:val="1"/>
      <w:color w:val="ff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00E9"/>
    <w:pPr>
      <w:tabs>
        <w:tab w:val="center" w:pos="4680"/>
        <w:tab w:val="right" w:pos="9360"/>
      </w:tabs>
    </w:pPr>
  </w:style>
  <w:style w:type="character" w:styleId="HeaderChar" w:customStyle="1">
    <w:name w:val="Header Char"/>
    <w:basedOn w:val="DefaultParagraphFont"/>
    <w:link w:val="Header"/>
    <w:uiPriority w:val="99"/>
    <w:rsid w:val="00F500E9"/>
  </w:style>
  <w:style w:type="paragraph" w:styleId="Footer">
    <w:name w:val="footer"/>
    <w:basedOn w:val="Normal"/>
    <w:link w:val="FooterChar"/>
    <w:uiPriority w:val="99"/>
    <w:unhideWhenUsed w:val="1"/>
    <w:rsid w:val="00F500E9"/>
    <w:pPr>
      <w:tabs>
        <w:tab w:val="center" w:pos="4680"/>
        <w:tab w:val="right" w:pos="9360"/>
      </w:tabs>
    </w:pPr>
  </w:style>
  <w:style w:type="character" w:styleId="FooterChar" w:customStyle="1">
    <w:name w:val="Footer Char"/>
    <w:basedOn w:val="DefaultParagraphFont"/>
    <w:link w:val="Footer"/>
    <w:uiPriority w:val="99"/>
    <w:rsid w:val="00F500E9"/>
  </w:style>
  <w:style w:type="character" w:styleId="Heading2Char" w:customStyle="1">
    <w:name w:val="Heading 2 Char"/>
    <w:basedOn w:val="DefaultParagraphFont"/>
    <w:link w:val="Heading2"/>
    <w:uiPriority w:val="9"/>
    <w:rsid w:val="00C4237B"/>
    <w:rPr>
      <w:rFonts w:ascii="Arial" w:cs="Arial" w:eastAsia="Batang" w:hAnsi="Arial"/>
      <w:b w:val="1"/>
      <w:caps w:val="1"/>
      <w:color w:val="ff0000"/>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d9yyD5syBb5Jcy0tAJIeSkum1w==">AMUW2mV0gjWsDBRfcVOMRLDwDRU4+HyhMDAeL1YA+dqAj9L0VQsIlLvEqz3hP3Tj4KtlbxA8JhmDDToLNGkA8bH/svAJscEcYUYoCfyy8zLDboa5F9wLe+A=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2021-05-05T19:58:00Z</dcterms:created>
  <dc:creator>Paula Cardwell</dc:creator>
</cp:coreProperties>
</file>